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93214557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74675241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0751454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362,08</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Vrancea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52.72%</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61250193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46.20%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203251238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1.08%</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361,34</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8"/>
        <w:gridCol w:w="4502"/>
        <w:tblGridChange w:id="0">
          <w:tblGrid>
            <w:gridCol w:w="4498"/>
            <w:gridCol w:w="450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D">
            <w:pPr>
              <w:spacing w:after="0" w:lineRule="auto"/>
              <w:rPr>
                <w:i w:val="1"/>
                <w:iCs w:val="1"/>
              </w:rPr>
            </w:pPr>
            <w:r w:rsidDel="00000000" w:rsidR="00000000" w:rsidRPr="00000000">
              <w:rPr>
                <w:i w:val="1"/>
                <w:iCs w:val="1"/>
                <w:sz w:val="22"/>
                <w:szCs w:val="22"/>
                <w:rtl w:val="0"/>
              </w:rPr>
              <w:t xml:space="preserve">1193 Bombina variegata</w:t>
              <w:br w:type="textWrapping"/>
              <w:t xml:space="preserve">1261 Lacerta agilis</w:t>
              <w:br w:type="textWrapping"/>
              <w:t xml:space="preserve">1213 Rana temporaria</w:t>
              <w:br w:type="textWrapping"/>
              <w:t xml:space="preserve">Triturus alpestris</w:t>
              <w:br w:type="textWrapping"/>
              <w:t xml:space="preserve">Vipera berus</w:t>
              <w:br w:type="textWrapping"/>
              <w:t xml:space="preserve">Zootoca vivipara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7">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8">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9">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rtl w:val="0"/>
              </w:rPr>
              <w:t xml:space="preserve">4. Prevenirea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b w:val="1"/>
          <w:bCs w:val="1"/>
          <w:sz w:val="22"/>
          <w:szCs w:val="22"/>
        </w:rPr>
      </w:pPr>
      <w:r w:rsidDel="00000000" w:rsidR="00000000" w:rsidRPr="00000000">
        <w:rPr>
          <w:rtl w:val="0"/>
        </w:rPr>
      </w:r>
    </w:p>
    <w:p w:rsidR="00000000" w:rsidDel="00000000" w:rsidP="00000000" w:rsidRDefault="00000000" w:rsidRPr="00000000" w14:paraId="000000B6">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8">
      <w:pPr>
        <w:jc w:val="center"/>
        <w:rPr>
          <w:b w:val="1"/>
          <w:bCs w:val="1"/>
          <w:sz w:val="22"/>
          <w:szCs w:val="22"/>
        </w:rPr>
      </w:pPr>
      <w:r w:rsidDel="00000000" w:rsidR="00000000" w:rsidRPr="00000000">
        <w:rPr>
          <w:rtl w:val="0"/>
        </w:rPr>
      </w:r>
    </w:p>
    <w:p w:rsidR="00000000" w:rsidDel="00000000" w:rsidP="00000000" w:rsidRDefault="00000000" w:rsidRPr="00000000" w14:paraId="000000B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Consultările publice au fost realizate la: 10 aprilie 2025 – Focșani, jud. Vrancea, 23 iunie</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2025 – corespondență electronică DS Vrancea.</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Ulterior, în cadrul procesului de consultare extins la nivel național, au avut loc consultări</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suplimentară online în data de 9 decembrie 2025 cu participarea factorilor interesați</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relevanți din județul Vrancea. </w:t>
      </w:r>
    </w:p>
    <w:p w:rsidR="00000000" w:rsidDel="00000000" w:rsidP="00000000" w:rsidRDefault="00000000" w:rsidRPr="00000000" w14:paraId="000000C1">
      <w:pPr>
        <w:rPr>
          <w:b w:val="1"/>
          <w:bCs w:val="1"/>
          <w:sz w:val="22"/>
          <w:szCs w:val="22"/>
        </w:rPr>
      </w:pPr>
      <w:r w:rsidDel="00000000" w:rsidR="00000000" w:rsidRPr="00000000">
        <w:rPr>
          <w:rtl w:val="0"/>
        </w:rPr>
      </w:r>
    </w:p>
    <w:p w:rsidR="00000000" w:rsidDel="00000000" w:rsidP="00000000" w:rsidRDefault="00000000" w:rsidRPr="00000000" w14:paraId="000000C2">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3">
      <w:pPr>
        <w:jc w:val="center"/>
        <w:rPr/>
      </w:pPr>
      <w:r w:rsidDel="00000000" w:rsidR="00000000" w:rsidRPr="00000000">
        <w:rPr>
          <w:rtl w:val="0"/>
        </w:rPr>
      </w:r>
    </w:p>
    <w:p w:rsidR="00000000" w:rsidDel="00000000" w:rsidP="00000000" w:rsidRDefault="00000000" w:rsidRPr="00000000" w14:paraId="000000C4">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5">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Vm4CJwYJk8NRlv0bAgCzJnmcy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hNXpsNW5xbEJnSDFZVmQ3bFc4Mk8yOGtwTWhIOFVw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